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p>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p>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p>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p>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p>
    <w:p w:rsidR="00122DA9" w:rsidRPr="00122DA9" w:rsidRDefault="00122DA9" w:rsidP="00122DA9">
      <w:pPr>
        <w:spacing w:before="100" w:beforeAutospacing="1" w:after="100" w:afterAutospacing="1" w:line="480" w:lineRule="auto"/>
        <w:jc w:val="center"/>
        <w:rPr>
          <w:rFonts w:ascii="Times New Roman" w:hAnsi="Times New Roman" w:cs="Times New Roman"/>
          <w:sz w:val="24"/>
          <w:szCs w:val="24"/>
        </w:rPr>
      </w:pPr>
      <w:r w:rsidRPr="00122DA9">
        <w:rPr>
          <w:rFonts w:ascii="Times New Roman" w:hAnsi="Times New Roman" w:cs="Times New Roman"/>
          <w:sz w:val="24"/>
          <w:szCs w:val="24"/>
        </w:rPr>
        <w:t>Personal Teaching Philosophy</w:t>
      </w:r>
    </w:p>
    <w:p w:rsidR="00122DA9" w:rsidRPr="00122DA9" w:rsidRDefault="00122DA9" w:rsidP="00122DA9">
      <w:pPr>
        <w:spacing w:before="100" w:beforeAutospacing="1" w:after="100" w:afterAutospacing="1" w:line="480" w:lineRule="auto"/>
        <w:jc w:val="center"/>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Name of Student</w:t>
      </w:r>
    </w:p>
    <w:p w:rsidR="00122DA9" w:rsidRPr="00122DA9" w:rsidRDefault="00122DA9" w:rsidP="00122DA9">
      <w:pPr>
        <w:spacing w:before="100" w:beforeAutospacing="1" w:after="100" w:afterAutospacing="1" w:line="480" w:lineRule="auto"/>
        <w:jc w:val="center"/>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Name of Institution</w:t>
      </w:r>
    </w:p>
    <w:p w:rsidR="00122DA9" w:rsidRPr="00122DA9" w:rsidRDefault="00122DA9" w:rsidP="00122DA9">
      <w:pPr>
        <w:spacing w:before="100" w:beforeAutospacing="1" w:after="100" w:afterAutospacing="1" w:line="480" w:lineRule="auto"/>
        <w:jc w:val="center"/>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Date</w:t>
      </w:r>
      <w:r w:rsidRPr="00122DA9">
        <w:rPr>
          <w:rFonts w:ascii="Times New Roman" w:hAnsi="Times New Roman" w:cs="Times New Roman"/>
          <w:sz w:val="24"/>
          <w:szCs w:val="24"/>
          <w:shd w:val="clear" w:color="auto" w:fill="FFFFFF"/>
        </w:rPr>
        <w:br w:type="page"/>
      </w:r>
    </w:p>
    <w:p w:rsidR="00000000" w:rsidRPr="00122DA9" w:rsidRDefault="009E0D89"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lastRenderedPageBreak/>
        <w:t>The source of my personal model of teaching from the first draft was my pure ambitions and enthusiasm about the profession. I took the cliché that stipulates teaching is a calling and made it my firm foundation for the profession. Within this course, I came to have an expanded perception of the profession and hopefully, a more diligent teacher. One principle that I took from this course is the acquired knowledge that teaching is a continuous process where the professional has to attend to the needs, feelings, and experience of the students and strategize a tactic to intervene within to ensure that they learn specified information, which will encourage to go beyond the given</w:t>
      </w:r>
      <w:r w:rsidR="008D4216" w:rsidRPr="00122DA9">
        <w:rPr>
          <w:rFonts w:ascii="Times New Roman" w:hAnsi="Times New Roman" w:cs="Times New Roman"/>
          <w:sz w:val="24"/>
          <w:szCs w:val="24"/>
          <w:shd w:val="clear" w:color="auto" w:fill="FFFFFF"/>
        </w:rPr>
        <w:t xml:space="preserve"> (Dana &amp; Yendol-Hoppey, 2018)</w:t>
      </w:r>
      <w:r w:rsidRPr="00122DA9">
        <w:rPr>
          <w:rFonts w:ascii="Times New Roman" w:hAnsi="Times New Roman" w:cs="Times New Roman"/>
          <w:sz w:val="24"/>
          <w:szCs w:val="24"/>
          <w:shd w:val="clear" w:color="auto" w:fill="FFFFFF"/>
        </w:rPr>
        <w:t xml:space="preserve">. The exposure to that philosophy promoted my drive to become a teacher, with the philosophical knowledge tied to the quote already part of my personal teaching model. The phrase adequately placed significance on the role of teachers to highlight and aid their students to deal with challenges as a means to progress. </w:t>
      </w:r>
    </w:p>
    <w:p w:rsidR="00213C80" w:rsidRPr="00122DA9" w:rsidRDefault="009E0D89"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 xml:space="preserve">An additional concept that I became exposed to in this course is </w:t>
      </w:r>
      <w:r w:rsidR="00E5401C" w:rsidRPr="00122DA9">
        <w:rPr>
          <w:rFonts w:ascii="Times New Roman" w:hAnsi="Times New Roman" w:cs="Times New Roman"/>
          <w:sz w:val="24"/>
          <w:szCs w:val="24"/>
          <w:shd w:val="clear" w:color="auto" w:fill="FFFFFF"/>
        </w:rPr>
        <w:t>meta-</w:t>
      </w:r>
      <w:r w:rsidRPr="00122DA9">
        <w:rPr>
          <w:rFonts w:ascii="Times New Roman" w:hAnsi="Times New Roman" w:cs="Times New Roman"/>
          <w:sz w:val="24"/>
          <w:szCs w:val="24"/>
          <w:shd w:val="clear" w:color="auto" w:fill="FFFFFF"/>
        </w:rPr>
        <w:t>cognition</w:t>
      </w:r>
      <w:r w:rsidR="00E5401C" w:rsidRPr="00122DA9">
        <w:rPr>
          <w:rFonts w:ascii="Times New Roman" w:hAnsi="Times New Roman" w:cs="Times New Roman"/>
          <w:sz w:val="24"/>
          <w:szCs w:val="24"/>
          <w:shd w:val="clear" w:color="auto" w:fill="FFFFFF"/>
        </w:rPr>
        <w:t xml:space="preserve"> as a quality for a teacher. The term highlights the teacher’s capability of prompting reflection from the students to promote much deeper learning of the concepts exposed in class. Students can self-reflect on their performance and the performances of other students, which will realistically improve their academic skills. Meta-cognition provides a concepts that is highly relevant to my motivation as a teacher since my primary source of encouragement in teaching is witnessing the twinkle in the eyes of students when they are finally able to find solutions to problems based on the guidance I gave to them. </w:t>
      </w:r>
      <w:r w:rsidR="00213C80" w:rsidRPr="00122DA9">
        <w:rPr>
          <w:rFonts w:ascii="Times New Roman" w:hAnsi="Times New Roman" w:cs="Times New Roman"/>
          <w:sz w:val="24"/>
          <w:szCs w:val="24"/>
          <w:shd w:val="clear" w:color="auto" w:fill="FFFFFF"/>
        </w:rPr>
        <w:t>I found it critical to understand that students will continuously go on with the learning process, with or without the presence of a teacher</w:t>
      </w:r>
      <w:r w:rsidR="008D4216" w:rsidRPr="00122DA9">
        <w:rPr>
          <w:rFonts w:ascii="Times New Roman" w:hAnsi="Times New Roman" w:cs="Times New Roman"/>
          <w:sz w:val="24"/>
          <w:szCs w:val="24"/>
          <w:shd w:val="clear" w:color="auto" w:fill="FFFFFF"/>
        </w:rPr>
        <w:t xml:space="preserve"> (Van Villet et al., 2015)</w:t>
      </w:r>
      <w:r w:rsidR="00213C80" w:rsidRPr="00122DA9">
        <w:rPr>
          <w:rFonts w:ascii="Times New Roman" w:hAnsi="Times New Roman" w:cs="Times New Roman"/>
          <w:sz w:val="24"/>
          <w:szCs w:val="24"/>
          <w:shd w:val="clear" w:color="auto" w:fill="FFFFFF"/>
        </w:rPr>
        <w:t xml:space="preserve">. That motivated me to use reflective tactics to encourage the students to not only learn from me, but also from each other. Consequentially, the tactics also exposed to me that even as a teacher, I was still a part of the learning curve. </w:t>
      </w:r>
    </w:p>
    <w:p w:rsidR="00213C80" w:rsidRPr="00122DA9" w:rsidRDefault="00E5401C"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lastRenderedPageBreak/>
        <w:t xml:space="preserve">The concept </w:t>
      </w:r>
      <w:r w:rsidR="00213C80" w:rsidRPr="00122DA9">
        <w:rPr>
          <w:rFonts w:ascii="Times New Roman" w:hAnsi="Times New Roman" w:cs="Times New Roman"/>
          <w:sz w:val="24"/>
          <w:szCs w:val="24"/>
          <w:shd w:val="clear" w:color="auto" w:fill="FFFFFF"/>
        </w:rPr>
        <w:t xml:space="preserve">of meta-cognition </w:t>
      </w:r>
      <w:r w:rsidRPr="00122DA9">
        <w:rPr>
          <w:rFonts w:ascii="Times New Roman" w:hAnsi="Times New Roman" w:cs="Times New Roman"/>
          <w:sz w:val="24"/>
          <w:szCs w:val="24"/>
          <w:shd w:val="clear" w:color="auto" w:fill="FFFFFF"/>
        </w:rPr>
        <w:t>exposed me to the realistic meaning of teachers as facilitators who weave the internal and external environments around students to promote their capability to learn. Therefore, meta-cognition for me will also improve my skills as a teacher. The improvement of my current skill-set will be an evolution to better fit the structure, setting and lessons for the future through constant monitoring of the present tactics and performance. As a teacher, meta-cognition influences my tactics through three stages</w:t>
      </w:r>
      <w:r w:rsidR="008D4216" w:rsidRPr="00122DA9">
        <w:rPr>
          <w:rFonts w:ascii="Times New Roman" w:hAnsi="Times New Roman" w:cs="Times New Roman"/>
          <w:sz w:val="24"/>
          <w:szCs w:val="24"/>
          <w:shd w:val="clear" w:color="auto" w:fill="FFFFFF"/>
        </w:rPr>
        <w:t xml:space="preserve"> (Van Villet et al., 2015)</w:t>
      </w:r>
      <w:r w:rsidRPr="00122DA9">
        <w:rPr>
          <w:rFonts w:ascii="Times New Roman" w:hAnsi="Times New Roman" w:cs="Times New Roman"/>
          <w:sz w:val="24"/>
          <w:szCs w:val="24"/>
          <w:shd w:val="clear" w:color="auto" w:fill="FFFFFF"/>
        </w:rPr>
        <w:t xml:space="preserve">; before, during and after tasks. In the first stage, the primary questions of concern are; what I seek to achieve? What I need to do first? Whether I have ever done such a thing before, and how? </w:t>
      </w:r>
      <w:r w:rsidR="00213C80" w:rsidRPr="00122DA9">
        <w:rPr>
          <w:rFonts w:ascii="Times New Roman" w:hAnsi="Times New Roman" w:cs="Times New Roman"/>
          <w:sz w:val="24"/>
          <w:szCs w:val="24"/>
          <w:shd w:val="clear" w:color="auto" w:fill="FFFFFF"/>
        </w:rPr>
        <w:t>During the task, I will pose the questions; is there anyone whom I can ask for help? Is there anything that I could alter to accomplish it differently? Whether I am on the right track? After the task, it is important to reflect on; what else could I have done better? Are the tactics I used applicable to other scenarios? What went well?</w:t>
      </w:r>
    </w:p>
    <w:p w:rsidR="00213C80" w:rsidRPr="00122DA9" w:rsidRDefault="00DC455E"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 xml:space="preserve">Through the course, I found it highly critical that the teacher should work with and be considerate of the student’s references.  The context refers to </w:t>
      </w:r>
      <w:r w:rsidR="003F0A59" w:rsidRPr="00122DA9">
        <w:rPr>
          <w:rFonts w:ascii="Times New Roman" w:hAnsi="Times New Roman" w:cs="Times New Roman"/>
          <w:sz w:val="24"/>
          <w:szCs w:val="24"/>
          <w:shd w:val="clear" w:color="auto" w:fill="FFFFFF"/>
        </w:rPr>
        <w:t>teacher’s</w:t>
      </w:r>
      <w:r w:rsidRPr="00122DA9">
        <w:rPr>
          <w:rFonts w:ascii="Times New Roman" w:hAnsi="Times New Roman" w:cs="Times New Roman"/>
          <w:sz w:val="24"/>
          <w:szCs w:val="24"/>
          <w:shd w:val="clear" w:color="auto" w:fill="FFFFFF"/>
        </w:rPr>
        <w:t xml:space="preserve"> highlights that it is important for me to account for the interests, purposes, goals and values from the student population. It is highly demoralizing as a teacher to impose only my references in the learning process, and ignoring theirs. However, application of the tactic requires a common ground between all the students and their teacher. I found it critical that the common ground should be under the directives of the teacher. </w:t>
      </w:r>
      <w:r w:rsidR="009F73ED" w:rsidRPr="00122DA9">
        <w:rPr>
          <w:rFonts w:ascii="Times New Roman" w:hAnsi="Times New Roman" w:cs="Times New Roman"/>
          <w:sz w:val="24"/>
          <w:szCs w:val="24"/>
          <w:shd w:val="clear" w:color="auto" w:fill="FFFFFF"/>
        </w:rPr>
        <w:t>It is important for me that the common ground is me since that will make it easier for each person learning to meet at the focal point</w:t>
      </w:r>
      <w:r w:rsidR="008D4216" w:rsidRPr="00122DA9">
        <w:rPr>
          <w:rFonts w:ascii="Times New Roman" w:hAnsi="Times New Roman" w:cs="Times New Roman"/>
          <w:sz w:val="24"/>
          <w:szCs w:val="24"/>
          <w:shd w:val="clear" w:color="auto" w:fill="FFFFFF"/>
        </w:rPr>
        <w:t xml:space="preserve"> (Bovill et al. 2016)</w:t>
      </w:r>
      <w:r w:rsidR="009F73ED" w:rsidRPr="00122DA9">
        <w:rPr>
          <w:rFonts w:ascii="Times New Roman" w:hAnsi="Times New Roman" w:cs="Times New Roman"/>
          <w:sz w:val="24"/>
          <w:szCs w:val="24"/>
          <w:shd w:val="clear" w:color="auto" w:fill="FFFFFF"/>
        </w:rPr>
        <w:t xml:space="preserve">. Additionally, the learning process will continually prompt the students to reach out and learn with the teacher, not just from me. </w:t>
      </w:r>
    </w:p>
    <w:p w:rsidR="009F73ED" w:rsidRPr="00122DA9" w:rsidRDefault="009F73ED"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lastRenderedPageBreak/>
        <w:t xml:space="preserve">My original philosophy from eight weeks ago centered on the students and how to incorporate tactics in and out of the classroom to better source of the best capabilities of the students. After the course, my original personalize philosophy is still highly applicable and also encompasses most of the learning material I encountered. My philosophy will still have its foundation through pillars of teamwork, technology-aided teaching, and parent engagement. However, I would expand on each of the pillars to form a more comprehensive model of teaching. </w:t>
      </w:r>
      <w:r w:rsidR="003F0A59" w:rsidRPr="00122DA9">
        <w:rPr>
          <w:rFonts w:ascii="Times New Roman" w:hAnsi="Times New Roman" w:cs="Times New Roman"/>
          <w:sz w:val="24"/>
          <w:szCs w:val="24"/>
          <w:shd w:val="clear" w:color="auto" w:fill="FFFFFF"/>
        </w:rPr>
        <w:t>In consideration of the student’s references, it is essential to incorporate the role of parents. The parent’s involvement will legitimize and aid in assuring the student’s that their references are valid. Hopefully, validity will be the stepping stone that motivates the student to use their references as a learning tool.</w:t>
      </w:r>
    </w:p>
    <w:p w:rsidR="003F0A59" w:rsidRPr="00122DA9" w:rsidRDefault="003F0A59" w:rsidP="00122DA9">
      <w:pPr>
        <w:spacing w:before="100" w:beforeAutospacing="1" w:after="100" w:afterAutospacing="1" w:line="480" w:lineRule="auto"/>
        <w:ind w:firstLine="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Meta-cognition could influence the influences the self-reflective actions from students as they deliberate among themselves and also with others outside of classrooms</w:t>
      </w:r>
      <w:r w:rsidR="008D4216" w:rsidRPr="00122DA9">
        <w:rPr>
          <w:rFonts w:ascii="Times New Roman" w:hAnsi="Times New Roman" w:cs="Times New Roman"/>
          <w:sz w:val="24"/>
          <w:szCs w:val="24"/>
          <w:shd w:val="clear" w:color="auto" w:fill="FFFFFF"/>
        </w:rPr>
        <w:t xml:space="preserve"> (Van Villet et al., 2015)</w:t>
      </w:r>
      <w:r w:rsidRPr="00122DA9">
        <w:rPr>
          <w:rFonts w:ascii="Times New Roman" w:hAnsi="Times New Roman" w:cs="Times New Roman"/>
          <w:sz w:val="24"/>
          <w:szCs w:val="24"/>
          <w:shd w:val="clear" w:color="auto" w:fill="FFFFFF"/>
        </w:rPr>
        <w:t>. The context builds on the principle of forming more comprehensive and motivated teams for the students, which also involves. Additionally, technology-aided teaching could also benefit from incorporation of meta-cognition into its strategical framework</w:t>
      </w:r>
      <w:r w:rsidR="008D4216" w:rsidRPr="00122DA9">
        <w:rPr>
          <w:rFonts w:ascii="Times New Roman" w:hAnsi="Times New Roman" w:cs="Times New Roman"/>
          <w:sz w:val="24"/>
          <w:szCs w:val="24"/>
          <w:shd w:val="clear" w:color="auto" w:fill="FFFFFF"/>
        </w:rPr>
        <w:t xml:space="preserve"> (Ghavifer &amp; Rosdy, 2015)</w:t>
      </w:r>
      <w:r w:rsidRPr="00122DA9">
        <w:rPr>
          <w:rFonts w:ascii="Times New Roman" w:hAnsi="Times New Roman" w:cs="Times New Roman"/>
          <w:sz w:val="24"/>
          <w:szCs w:val="24"/>
          <w:shd w:val="clear" w:color="auto" w:fill="FFFFFF"/>
        </w:rPr>
        <w:t xml:space="preserve">. </w:t>
      </w:r>
    </w:p>
    <w:p w:rsidR="00122DA9" w:rsidRPr="00122DA9" w:rsidRDefault="00122DA9" w:rsidP="00122DA9">
      <w:pPr>
        <w:spacing w:before="100" w:beforeAutospacing="1" w:after="100" w:afterAutospacing="1" w:line="480" w:lineRule="auto"/>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br w:type="page"/>
      </w:r>
    </w:p>
    <w:p w:rsidR="008D4216" w:rsidRPr="00122DA9" w:rsidRDefault="008D4216" w:rsidP="00122DA9">
      <w:pPr>
        <w:spacing w:before="100" w:beforeAutospacing="1" w:after="100" w:afterAutospacing="1" w:line="480" w:lineRule="auto"/>
        <w:jc w:val="center"/>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lastRenderedPageBreak/>
        <w:t>References</w:t>
      </w:r>
    </w:p>
    <w:p w:rsidR="008D4216" w:rsidRPr="00122DA9" w:rsidRDefault="008D4216" w:rsidP="00122DA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Bovill, C., Cook-Sather, A., Felten, P., Millard, L., &amp; Moore-Cherry, N. (2016). Addressing potential challenges in co-creating learning and teaching: Overcoming resistance, navigating institutional norms and ensuring inclusivity in student–staff partnerships. </w:t>
      </w:r>
      <w:r w:rsidRPr="00122DA9">
        <w:rPr>
          <w:rFonts w:ascii="Times New Roman" w:hAnsi="Times New Roman" w:cs="Times New Roman"/>
          <w:i/>
          <w:iCs/>
          <w:sz w:val="24"/>
          <w:szCs w:val="24"/>
          <w:shd w:val="clear" w:color="auto" w:fill="FFFFFF"/>
        </w:rPr>
        <w:t>Higher Education</w:t>
      </w:r>
      <w:r w:rsidRPr="00122DA9">
        <w:rPr>
          <w:rFonts w:ascii="Times New Roman" w:hAnsi="Times New Roman" w:cs="Times New Roman"/>
          <w:sz w:val="24"/>
          <w:szCs w:val="24"/>
          <w:shd w:val="clear" w:color="auto" w:fill="FFFFFF"/>
        </w:rPr>
        <w:t>, </w:t>
      </w:r>
      <w:r w:rsidRPr="00122DA9">
        <w:rPr>
          <w:rFonts w:ascii="Times New Roman" w:hAnsi="Times New Roman" w:cs="Times New Roman"/>
          <w:i/>
          <w:iCs/>
          <w:sz w:val="24"/>
          <w:szCs w:val="24"/>
          <w:shd w:val="clear" w:color="auto" w:fill="FFFFFF"/>
        </w:rPr>
        <w:t>71</w:t>
      </w:r>
      <w:r w:rsidRPr="00122DA9">
        <w:rPr>
          <w:rFonts w:ascii="Times New Roman" w:hAnsi="Times New Roman" w:cs="Times New Roman"/>
          <w:sz w:val="24"/>
          <w:szCs w:val="24"/>
          <w:shd w:val="clear" w:color="auto" w:fill="FFFFFF"/>
        </w:rPr>
        <w:t>(2), 195-208.</w:t>
      </w:r>
    </w:p>
    <w:p w:rsidR="008D4216" w:rsidRPr="00122DA9" w:rsidRDefault="008D4216" w:rsidP="00122DA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Dana, N. F., &amp; Yendol-Hoppey, D. (2019). </w:t>
      </w:r>
      <w:r w:rsidRPr="00122DA9">
        <w:rPr>
          <w:rFonts w:ascii="Times New Roman" w:hAnsi="Times New Roman" w:cs="Times New Roman"/>
          <w:i/>
          <w:iCs/>
          <w:sz w:val="24"/>
          <w:szCs w:val="24"/>
          <w:shd w:val="clear" w:color="auto" w:fill="FFFFFF"/>
        </w:rPr>
        <w:t>The reflective educator's guide to classroom research: Learning to teach and teaching to learn through practitioner inquiry</w:t>
      </w:r>
      <w:r w:rsidRPr="00122DA9">
        <w:rPr>
          <w:rFonts w:ascii="Times New Roman" w:hAnsi="Times New Roman" w:cs="Times New Roman"/>
          <w:sz w:val="24"/>
          <w:szCs w:val="24"/>
          <w:shd w:val="clear" w:color="auto" w:fill="FFFFFF"/>
        </w:rPr>
        <w:t>. Corwin.</w:t>
      </w:r>
    </w:p>
    <w:p w:rsidR="008D4216" w:rsidRPr="00122DA9" w:rsidRDefault="008D4216" w:rsidP="00122DA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 xml:space="preserve">Ghavifekr, S. &amp; Rosdy, A. W. (2015). Teaching and learning with technology: Effectiveness of ICT integration in schools. </w:t>
      </w:r>
      <w:r w:rsidRPr="00122DA9">
        <w:rPr>
          <w:rFonts w:ascii="Times New Roman" w:hAnsi="Times New Roman" w:cs="Times New Roman"/>
          <w:i/>
          <w:sz w:val="24"/>
          <w:szCs w:val="24"/>
          <w:shd w:val="clear" w:color="auto" w:fill="FFFFFF"/>
        </w:rPr>
        <w:t>International Journal of Research in Education and Science</w:t>
      </w:r>
      <w:r w:rsidRPr="00122DA9">
        <w:rPr>
          <w:rFonts w:ascii="Times New Roman" w:hAnsi="Times New Roman" w:cs="Times New Roman"/>
          <w:sz w:val="24"/>
          <w:szCs w:val="24"/>
          <w:shd w:val="clear" w:color="auto" w:fill="FFFFFF"/>
        </w:rPr>
        <w:t>, 1(2), 176-191.</w:t>
      </w:r>
    </w:p>
    <w:p w:rsidR="008D4216" w:rsidRPr="00122DA9" w:rsidRDefault="008D4216" w:rsidP="00122DA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122DA9">
        <w:rPr>
          <w:rFonts w:ascii="Times New Roman" w:hAnsi="Times New Roman" w:cs="Times New Roman"/>
          <w:sz w:val="24"/>
          <w:szCs w:val="24"/>
          <w:shd w:val="clear" w:color="auto" w:fill="FFFFFF"/>
        </w:rPr>
        <w:t>Van Vliet, E. A., Winnips, J. C., &amp; Brouwer, N. (2015). Flipped-class pedagogy enhances student metacognition and collaborative-learning strategies in higher education but effect does not persist. </w:t>
      </w:r>
      <w:r w:rsidRPr="00122DA9">
        <w:rPr>
          <w:rFonts w:ascii="Times New Roman" w:hAnsi="Times New Roman" w:cs="Times New Roman"/>
          <w:i/>
          <w:iCs/>
          <w:sz w:val="24"/>
          <w:szCs w:val="24"/>
          <w:shd w:val="clear" w:color="auto" w:fill="FFFFFF"/>
        </w:rPr>
        <w:t>CBE—Life Sciences Education</w:t>
      </w:r>
      <w:r w:rsidRPr="00122DA9">
        <w:rPr>
          <w:rFonts w:ascii="Times New Roman" w:hAnsi="Times New Roman" w:cs="Times New Roman"/>
          <w:sz w:val="24"/>
          <w:szCs w:val="24"/>
          <w:shd w:val="clear" w:color="auto" w:fill="FFFFFF"/>
        </w:rPr>
        <w:t>, </w:t>
      </w:r>
      <w:r w:rsidRPr="00122DA9">
        <w:rPr>
          <w:rFonts w:ascii="Times New Roman" w:hAnsi="Times New Roman" w:cs="Times New Roman"/>
          <w:i/>
          <w:iCs/>
          <w:sz w:val="24"/>
          <w:szCs w:val="24"/>
          <w:shd w:val="clear" w:color="auto" w:fill="FFFFFF"/>
        </w:rPr>
        <w:t>14</w:t>
      </w:r>
      <w:r w:rsidRPr="00122DA9">
        <w:rPr>
          <w:rFonts w:ascii="Times New Roman" w:hAnsi="Times New Roman" w:cs="Times New Roman"/>
          <w:sz w:val="24"/>
          <w:szCs w:val="24"/>
          <w:shd w:val="clear" w:color="auto" w:fill="FFFFFF"/>
        </w:rPr>
        <w:t>(3), ar26.</w:t>
      </w:r>
    </w:p>
    <w:sectPr w:rsidR="008D4216" w:rsidRPr="00122DA9" w:rsidSect="00122D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1B0" w:rsidRDefault="009C31B0" w:rsidP="00122DA9">
      <w:pPr>
        <w:spacing w:after="0" w:line="240" w:lineRule="auto"/>
      </w:pPr>
      <w:r>
        <w:separator/>
      </w:r>
    </w:p>
  </w:endnote>
  <w:endnote w:type="continuationSeparator" w:id="1">
    <w:p w:rsidR="009C31B0" w:rsidRDefault="009C31B0" w:rsidP="00122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1B0" w:rsidRDefault="009C31B0" w:rsidP="00122DA9">
      <w:pPr>
        <w:spacing w:after="0" w:line="240" w:lineRule="auto"/>
      </w:pPr>
      <w:r>
        <w:separator/>
      </w:r>
    </w:p>
  </w:footnote>
  <w:footnote w:type="continuationSeparator" w:id="1">
    <w:p w:rsidR="009C31B0" w:rsidRDefault="009C31B0" w:rsidP="00122D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A9" w:rsidRPr="00122DA9" w:rsidRDefault="00122DA9">
    <w:pPr>
      <w:pStyle w:val="Header"/>
      <w:jc w:val="right"/>
      <w:rPr>
        <w:rFonts w:ascii="Times New Roman" w:hAnsi="Times New Roman" w:cs="Times New Roman"/>
        <w:sz w:val="24"/>
      </w:rPr>
    </w:pPr>
    <w:r w:rsidRPr="00122DA9">
      <w:rPr>
        <w:rFonts w:ascii="Times New Roman" w:hAnsi="Times New Roman" w:cs="Times New Roman"/>
        <w:sz w:val="24"/>
      </w:rPr>
      <w:t>PERSONAL TEACHING PHILOSOPHY</w:t>
    </w:r>
    <w:r>
      <w:rPr>
        <w:rFonts w:ascii="Times New Roman" w:hAnsi="Times New Roman" w:cs="Times New Roman"/>
        <w:sz w:val="24"/>
      </w:rPr>
      <w:tab/>
    </w:r>
    <w:r w:rsidRPr="00122DA9">
      <w:rPr>
        <w:rFonts w:ascii="Times New Roman" w:hAnsi="Times New Roman" w:cs="Times New Roman"/>
        <w:sz w:val="24"/>
      </w:rPr>
      <w:tab/>
    </w:r>
    <w:sdt>
      <w:sdtPr>
        <w:rPr>
          <w:rFonts w:ascii="Times New Roman" w:hAnsi="Times New Roman" w:cs="Times New Roman"/>
          <w:sz w:val="24"/>
        </w:rPr>
        <w:id w:val="578274594"/>
        <w:docPartObj>
          <w:docPartGallery w:val="Page Numbers (Top of Page)"/>
          <w:docPartUnique/>
        </w:docPartObj>
      </w:sdtPr>
      <w:sdtContent>
        <w:r w:rsidRPr="00122DA9">
          <w:rPr>
            <w:rFonts w:ascii="Times New Roman" w:hAnsi="Times New Roman" w:cs="Times New Roman"/>
            <w:sz w:val="24"/>
          </w:rPr>
          <w:fldChar w:fldCharType="begin"/>
        </w:r>
        <w:r w:rsidRPr="00122DA9">
          <w:rPr>
            <w:rFonts w:ascii="Times New Roman" w:hAnsi="Times New Roman" w:cs="Times New Roman"/>
            <w:sz w:val="24"/>
          </w:rPr>
          <w:instrText xml:space="preserve"> PAGE   \* MERGEFORMAT </w:instrText>
        </w:r>
        <w:r w:rsidRPr="00122DA9">
          <w:rPr>
            <w:rFonts w:ascii="Times New Roman" w:hAnsi="Times New Roman" w:cs="Times New Roman"/>
            <w:sz w:val="24"/>
          </w:rPr>
          <w:fldChar w:fldCharType="separate"/>
        </w:r>
        <w:r>
          <w:rPr>
            <w:rFonts w:ascii="Times New Roman" w:hAnsi="Times New Roman" w:cs="Times New Roman"/>
            <w:noProof/>
            <w:sz w:val="24"/>
          </w:rPr>
          <w:t>5</w:t>
        </w:r>
        <w:r w:rsidRPr="00122DA9">
          <w:rPr>
            <w:rFonts w:ascii="Times New Roman" w:hAnsi="Times New Roman" w:cs="Times New Roman"/>
            <w:sz w:val="24"/>
          </w:rPr>
          <w:fldChar w:fldCharType="end"/>
        </w:r>
      </w:sdtContent>
    </w:sdt>
  </w:p>
  <w:p w:rsidR="00122DA9" w:rsidRPr="00122DA9" w:rsidRDefault="00122DA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A9" w:rsidRPr="00122DA9" w:rsidRDefault="00122DA9">
    <w:pPr>
      <w:pStyle w:val="Header"/>
      <w:jc w:val="right"/>
      <w:rPr>
        <w:rFonts w:ascii="Times New Roman" w:hAnsi="Times New Roman" w:cs="Times New Roman"/>
        <w:sz w:val="24"/>
      </w:rPr>
    </w:pPr>
    <w:r w:rsidRPr="00122DA9">
      <w:rPr>
        <w:rFonts w:ascii="Times New Roman" w:hAnsi="Times New Roman" w:cs="Times New Roman"/>
        <w:sz w:val="24"/>
      </w:rPr>
      <w:t xml:space="preserve">Running Head: PERSONAL TEACHING PHILOSOPHY </w:t>
    </w:r>
    <w:r w:rsidRPr="00122DA9">
      <w:rPr>
        <w:rFonts w:ascii="Times New Roman" w:hAnsi="Times New Roman" w:cs="Times New Roman"/>
        <w:sz w:val="24"/>
      </w:rPr>
      <w:tab/>
    </w:r>
    <w:sdt>
      <w:sdtPr>
        <w:rPr>
          <w:rFonts w:ascii="Times New Roman" w:hAnsi="Times New Roman" w:cs="Times New Roman"/>
          <w:sz w:val="24"/>
        </w:rPr>
        <w:id w:val="578274623"/>
        <w:docPartObj>
          <w:docPartGallery w:val="Page Numbers (Top of Page)"/>
          <w:docPartUnique/>
        </w:docPartObj>
      </w:sdtPr>
      <w:sdtContent>
        <w:r w:rsidRPr="00122DA9">
          <w:rPr>
            <w:rFonts w:ascii="Times New Roman" w:hAnsi="Times New Roman" w:cs="Times New Roman"/>
            <w:sz w:val="24"/>
          </w:rPr>
          <w:fldChar w:fldCharType="begin"/>
        </w:r>
        <w:r w:rsidRPr="00122DA9">
          <w:rPr>
            <w:rFonts w:ascii="Times New Roman" w:hAnsi="Times New Roman" w:cs="Times New Roman"/>
            <w:sz w:val="24"/>
          </w:rPr>
          <w:instrText xml:space="preserve"> PAGE   \* MERGEFORMAT </w:instrText>
        </w:r>
        <w:r w:rsidRPr="00122DA9">
          <w:rPr>
            <w:rFonts w:ascii="Times New Roman" w:hAnsi="Times New Roman" w:cs="Times New Roman"/>
            <w:sz w:val="24"/>
          </w:rPr>
          <w:fldChar w:fldCharType="separate"/>
        </w:r>
        <w:r>
          <w:rPr>
            <w:rFonts w:ascii="Times New Roman" w:hAnsi="Times New Roman" w:cs="Times New Roman"/>
            <w:noProof/>
            <w:sz w:val="24"/>
          </w:rPr>
          <w:t>1</w:t>
        </w:r>
        <w:r w:rsidRPr="00122DA9">
          <w:rPr>
            <w:rFonts w:ascii="Times New Roman" w:hAnsi="Times New Roman" w:cs="Times New Roman"/>
            <w:sz w:val="24"/>
          </w:rPr>
          <w:fldChar w:fldCharType="end"/>
        </w:r>
      </w:sdtContent>
    </w:sdt>
  </w:p>
  <w:p w:rsidR="00122DA9" w:rsidRPr="00122DA9" w:rsidRDefault="00122DA9">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313C85"/>
    <w:multiLevelType w:val="hybridMultilevel"/>
    <w:tmpl w:val="F6B4D91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9424651"/>
    <w:multiLevelType w:val="hybridMultilevel"/>
    <w:tmpl w:val="8AE878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A22BE"/>
    <w:multiLevelType w:val="hybridMultilevel"/>
    <w:tmpl w:val="355A10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47B24"/>
    <w:rsid w:val="00122DA9"/>
    <w:rsid w:val="00213C80"/>
    <w:rsid w:val="003F0A59"/>
    <w:rsid w:val="00447B24"/>
    <w:rsid w:val="008D4216"/>
    <w:rsid w:val="009C31B0"/>
    <w:rsid w:val="009E0D89"/>
    <w:rsid w:val="009F73ED"/>
    <w:rsid w:val="00DC455E"/>
    <w:rsid w:val="00E540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B24"/>
    <w:pPr>
      <w:ind w:left="720"/>
      <w:contextualSpacing/>
    </w:pPr>
  </w:style>
  <w:style w:type="paragraph" w:styleId="Header">
    <w:name w:val="header"/>
    <w:basedOn w:val="Normal"/>
    <w:link w:val="HeaderChar"/>
    <w:uiPriority w:val="99"/>
    <w:unhideWhenUsed/>
    <w:rsid w:val="00122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DA9"/>
  </w:style>
  <w:style w:type="paragraph" w:styleId="Footer">
    <w:name w:val="footer"/>
    <w:basedOn w:val="Normal"/>
    <w:link w:val="FooterChar"/>
    <w:uiPriority w:val="99"/>
    <w:semiHidden/>
    <w:unhideWhenUsed/>
    <w:rsid w:val="00122D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2D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2020-03-09T04:47:00Z</dcterms:created>
  <dcterms:modified xsi:type="dcterms:W3CDTF">2020-03-09T06:33:00Z</dcterms:modified>
</cp:coreProperties>
</file>